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181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8160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Chen Yajing</w:t>
              </w:r>
            </w:hyperlink>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Zai Lab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0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ZAI LAB LIMITED</w:t>
            </w:r>
          </w:p>
        </w:tc>
        <w:tc>
          <w:tcPr>
            <w:tcW w:w="118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314 MAIN STREET, 4TH FLOOR, SUITE 100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20" w:type="dxa"/>
            <w:vAlign w:val="bottom"/>
            <w:gridSpan w:val="9"/>
          </w:tcPr>
          <w:p>
            <w:pPr>
              <w:jc w:val="center"/>
              <w:ind w:right="49"/>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6,250</w:t>
            </w:r>
            <w:r>
              <w:rPr>
                <w:rFonts w:ascii="Times New Roman" w:cs="Times New Roman" w:eastAsia="Times New Roman" w:hAnsi="Times New Roman"/>
                <w:sz w:val="21"/>
                <w:szCs w:val="21"/>
                <w:color w:val="008000"/>
                <w:vertAlign w:val="superscript"/>
              </w:rPr>
              <w:t>(2)</w:t>
            </w:r>
          </w:p>
        </w:tc>
        <w:tc>
          <w:tcPr>
            <w:tcW w:w="46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37,955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2,264</w:t>
            </w:r>
            <w:r>
              <w:rPr>
                <w:rFonts w:ascii="Times New Roman" w:cs="Times New Roman" w:eastAsia="Times New Roman" w:hAnsi="Times New Roman"/>
                <w:sz w:val="21"/>
                <w:szCs w:val="21"/>
                <w:color w:val="008000"/>
                <w:vertAlign w:val="superscript"/>
              </w:rPr>
              <w:t>(4)</w:t>
            </w:r>
          </w:p>
        </w:tc>
        <w:tc>
          <w:tcPr>
            <w:tcW w:w="46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17.461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35,691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w w:val="88"/>
              </w:rPr>
              <w:t>Title</w:t>
            </w:r>
          </w:p>
        </w:tc>
        <w:tc>
          <w:tcPr>
            <w:tcW w:w="4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6,250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6,250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2"/>
                <w:szCs w:val="12"/>
                <w:color w:val="auto"/>
              </w:rPr>
            </w:pPr>
          </w:p>
        </w:tc>
        <w:tc>
          <w:tcPr>
            <w:tcW w:w="500" w:type="dxa"/>
            <w:vAlign w:val="bottom"/>
          </w:tcPr>
          <w:p>
            <w:pPr>
              <w:jc w:val="right"/>
              <w:ind w:right="234"/>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gridSpan w:val="2"/>
          </w:tcPr>
          <w:p>
            <w:pPr>
              <w:jc w:val="right"/>
              <w:ind w:right="109"/>
              <w:spacing w:after="0" w:line="232"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-2110740</wp:posOffset>
            </wp:positionV>
            <wp:extent cx="29210" cy="211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5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ADSs acquired upon vesting of Restricted Share Units ("RSUs").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ADS.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ADSs were sold automatically to cover taxes upon vesting of RSUs.</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equal annual installments over four years beginning on 06/25/2023, the first anniversary of the date of grant. Vested shares will be delivered in the form of ADSs to the reporting person following vesting.</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Bruce Blefeld,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5694"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2026-06-29T15:33:05Z</dcterms:created>
  <dcterms:modified xsi:type="dcterms:W3CDTF">2026-06-29T15:33:05Z</dcterms:modified>
</cp:coreProperties>
</file>