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Chairperson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899"/>
        <w:gridCol w:w="771"/>
        <w:gridCol w:w="597"/>
        <w:gridCol w:w="339"/>
        <w:gridCol w:w="952"/>
        <w:gridCol w:w="431"/>
        <w:gridCol w:w="831"/>
        <w:gridCol w:w="1247"/>
        <w:gridCol w:w="968"/>
        <w:gridCol w:w="9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17,970</w:t>
            </w:r>
            <w:r>
              <w:rPr>
                <w:rFonts w:ascii="Times;serif" w:hAnsi="Times;serif"/>
                <w:color w:val="008000"/>
                <w:position w:val="7"/>
                <w:sz w:val="16"/>
                <w:sz w:val="20"/>
                <w:shd w:fill="FFFFFF" w:val="clear"/>
              </w:rPr>
              <w:t>(2)</w:t>
            </w:r>
            <w:r>
              <w:rPr/>
              <w:t xml:space="preserve"> </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1,210,810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7,026</w:t>
            </w:r>
            <w:r>
              <w:rPr>
                <w:rFonts w:ascii="Times;serif" w:hAnsi="Times;serif"/>
                <w:color w:val="008000"/>
                <w:position w:val="7"/>
                <w:sz w:val="16"/>
                <w:sz w:val="20"/>
                <w:shd w:fill="FFFFFF" w:val="clear"/>
              </w:rPr>
              <w:t>(4)</w:t>
            </w:r>
            <w:r>
              <w:rPr/>
              <w:t xml:space="preserve"> </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18.534</w:t>
            </w:r>
            <w:r>
              <w:rPr/>
              <w:t xml:space="preserve"> </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1,203,784</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1026"/>
        <w:gridCol w:w="801"/>
        <w:gridCol w:w="801"/>
        <w:gridCol w:w="936"/>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17,970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ADSs acquired upon vesting of Restricted Share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one ADS.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ADSs were sold automatically to cover taxes upon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equal annual installments over four years beginning on 06/29/2024, the first anniversary of the date of grant, subject to continuous service. Vested shares will be delivered in the form of ADSs to the reporting person following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1790"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3784</Characters>
  <CharactersWithSpaces>4411</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