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0000FF"/>
        </w:rPr>
        <w:t>Zai Lab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par value $0.000006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TCG Crossover GP II,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29,565,330.00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29,565,330.00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29,565,330.00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2.6 %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Consists of 2,956,533 American Depositary Shares ("ADSs") of the Issuer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defined in Item 1(a) below), representing an aggregate of 29,565,330 Ordinary Shares. Each ADS represents ten Ordinary Shares of the Issuer. These securities are held of record by TCG Crossover II (as defined in Item 2(a) below). TCG Crossover GP II (as defined in Item 2(a) below) is the general partner of TCG Crossover II and may be deemed to have voting, investment, and dispositive power with respect to these securities. Chen Yu is the sole managing member of TCG Crossover GP II and may be deemed to share voting, investment and dispositive power with respect to these securities. Based on 1,123,548,580 Ordinary Shares outstanding as of April 30, 2026, as reported by the Issuer in its quarterly report on Form 10-Q filed with the Securities and Exchange Commission (the "Commission") on May 7, 2026 (the "Form 10-Q").</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TCG Crossover Fund 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29,565,330.00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29,565,330.00</w:t>
            </w:r>
          </w:p>
        </w:tc>
        <w:tc>
          <w:tcPr>
            <w:tcW w:w="0" w:type="dxa"/>
            <w:vAlign w:val="bottom"/>
          </w:tcPr>
          <w:p>
            <w:pPr>
              <w:spacing w:after="0"/>
              <w:rPr>
                <w:sz w:val="1"/>
                <w:szCs w:val="1"/>
                <w:color w:val="auto"/>
              </w:rPr>
            </w:pPr>
          </w:p>
        </w:tc>
      </w:tr>
    </w:tbl>
    <w:p>
      <w:pPr>
        <w:sectPr>
          <w:pgSz w:w="11900" w:h="16838" w:orient="portrait"/>
          <w:cols w:equalWidth="0" w:num="1">
            <w:col w:w="11180"/>
          </w:cols>
          <w:pgMar w:left="320" w:top="102" w:right="399" w:bottom="0" w:gutter="0" w:footer="0" w:header="0"/>
        </w:sectPr>
      </w:pPr>
    </w:p>
    <w:bookmarkStart w:id="2" w:name="page3"/>
    <w:bookmarkEnd w:id="2"/>
    <w:p>
      <w:pPr>
        <w:ind w:left="1160" w:right="4080" w:hanging="1112"/>
        <w:spacing w:after="0" w:line="371" w:lineRule="auto"/>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29,565,330.00</w:t>
      </w:r>
    </w:p>
    <w:p>
      <w:pPr>
        <w:ind w:left="1160"/>
        <w:spacing w:after="0" w:line="229" w:lineRule="auto"/>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2.6 %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Consists of 2,956,533 ADSs of the Issuer, representing an aggregate of 29,565,330</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Ordinary Shares. Each ADS represents ten Ordinary Shares of the Issuer. These securities are held of record by TCG Crossover</w:t>
      </w:r>
    </w:p>
    <w:p>
      <w:pPr>
        <w:spacing w:after="0" w:line="1" w:lineRule="exact"/>
        <w:rPr>
          <w:sz w:val="20"/>
          <w:szCs w:val="20"/>
          <w:color w:val="auto"/>
        </w:rPr>
      </w:pPr>
    </w:p>
    <w:p>
      <w:pPr>
        <w:ind w:right="120" w:firstLine="8"/>
        <w:spacing w:after="0" w:line="234" w:lineRule="auto"/>
        <w:tabs>
          <w:tab w:leader="none" w:pos="25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TCG Crossover GP II is the general partner of TCG Crossover II and may be deemed to have voting, investment, and dispositive power with respect to these securities. Chen Yu is the sole managing member of TCG Crossover GP II and may be deemed to share voting, investment and dispositive power with respect to these securities. Based on 1,123,548,580 Ordinary Shares outstanding as of April 30, 2026, as reported by the Issuer in the Form 10-Q.</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TCG Crossover GP III,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020"/>
          </w:cols>
          <w:pgMar w:left="320" w:top="111" w:right="5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29,565,420.00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29,565,420.00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29,565,420.00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ectPr>
          <w:pgSz w:w="11900" w:h="16838" w:orient="portrait"/>
          <w:cols w:equalWidth="0" w:num="2">
            <w:col w:w="1100" w:space="60"/>
            <w:col w:w="9860"/>
          </w:cols>
          <w:pgMar w:left="320" w:top="111" w:right="559" w:bottom="0" w:gutter="0" w:footer="0" w:header="0"/>
          <w:type w:val="continuous"/>
        </w:sectPr>
      </w:pPr>
    </w:p>
    <w:bookmarkStart w:id="3" w:name="page4"/>
    <w:bookmarkEnd w:id="3"/>
    <w:p>
      <w:pPr>
        <w:ind w:right="140"/>
        <w:spacing w:after="0" w:line="255"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Consists of 2,956,542 ADSs of the Issuer, representing an aggregate of 29,565,420</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Ordinary Shares. Each ADS represents ten Ordinary Shares of the Issuer. These securities are held of record by TCG Crossover</w:t>
      </w:r>
    </w:p>
    <w:p>
      <w:pPr>
        <w:spacing w:after="0" w:line="1" w:lineRule="exact"/>
        <w:rPr>
          <w:sz w:val="20"/>
          <w:szCs w:val="20"/>
          <w:color w:val="auto"/>
        </w:rPr>
      </w:pPr>
    </w:p>
    <w:p>
      <w:pPr>
        <w:ind w:firstLine="8"/>
        <w:spacing w:after="0" w:line="233" w:lineRule="auto"/>
        <w:tabs>
          <w:tab w:leader="none" w:pos="27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defined in Item 2(a) below). TCG Crossover GP III (as defined in Item 2(a) below) is the general partner of TCG Crossover III and may be deemed to have voting, investment, and dispositive power with respect to these securities. Chen Yu is the sole managing member of TCG Crossover GP III and may be deemed to share voting, investment and dispositive power with respect to these securities. Based on 1,123,548,580 Ordinary Shares outstanding as of April 30, 2026, as reported by the Issuer in the Form 10-Q.</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TCG Crossover Fund III,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60"/>
          </w:cols>
          <w:pgMar w:left="320" w:top="351" w:right="41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29,565,420.00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29,565,420.00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29,565,420.00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00"/>
          </w:cols>
          <w:pgMar w:left="320" w:top="351" w:right="419" w:bottom="0" w:gutter="0" w:footer="0" w:header="0"/>
          <w:type w:val="continuous"/>
        </w:sectPr>
      </w:pPr>
    </w:p>
    <w:p>
      <w:pPr>
        <w:spacing w:after="0" w:line="7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Consists of 2,956,542 ADSs of the Issuer, representing an aggregate of 29,565,420</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Ordinary Shares. Each ADS represents ten Ordinary Shares of the Issuer. These securities are held of record by TCG Crossover</w:t>
      </w:r>
    </w:p>
    <w:p>
      <w:pPr>
        <w:spacing w:after="0" w:line="1" w:lineRule="exact"/>
        <w:rPr>
          <w:sz w:val="20"/>
          <w:szCs w:val="20"/>
          <w:color w:val="auto"/>
        </w:rPr>
      </w:pPr>
    </w:p>
    <w:p>
      <w:pPr>
        <w:ind w:right="180" w:firstLine="8"/>
        <w:spacing w:after="0" w:line="234" w:lineRule="auto"/>
        <w:tabs>
          <w:tab w:leader="none" w:pos="32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TCG Crossover GP III is the general partner of TCG Crossover III and may be deemed to have voting, investment, and dispositive power with respect to these securities. Chen Yu is the sole managing member of TCG Crossover GP III and may be deemed to share voting, investment and dispositive power with respect to these securities. Based on 1,123,548,580 Ordinary Shares outstanding as of April 30, 2026, as reported by the Issuer in the Form 10-Q.</w:t>
      </w:r>
    </w:p>
    <w:p>
      <w:pPr>
        <w:sectPr>
          <w:pgSz w:w="11900" w:h="16838" w:orient="portrait"/>
          <w:cols w:equalWidth="0" w:num="1">
            <w:col w:w="11160"/>
          </w:cols>
          <w:pgMar w:left="320" w:top="351" w:right="4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160"/>
          </w:cols>
          <w:pgMar w:left="320" w:top="351" w:right="419" w:bottom="0" w:gutter="0" w:footer="0" w:header="0"/>
          <w:type w:val="continuous"/>
        </w:sectPr>
      </w:pPr>
    </w:p>
    <w:bookmarkStart w:id="4" w:name="page5"/>
    <w:bookmarkEnd w:id="4"/>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Chen Yu</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108"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59,130,750.00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59,130,750.00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59,130,750.00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40"/>
          </w:cols>
          <w:pgMar w:left="320" w:top="108" w:right="379" w:bottom="0" w:gutter="0" w:footer="0" w:header="0"/>
          <w:type w:val="continuous"/>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Consists of (i) 2,956,533 ADSs of the Issuer, representing an aggregate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29,565,330 Ordinary Shares held of record by TCG Crossover II and (ii) 2,956,542 ADSs of the Issuer, representing an aggregate of 29,565,420 Ordinary Shares held of record by TCG Crossover III. TCG Crossover GP II is the general partner of TCG Crossover II and may be deemed to have voting, investment, and dispositive power with respect to the securities held of record by TCG Crossover II. TCG Crossover GP III is the general partner of TCG Crossover III and may be deemed to have voting, investment, and dispositive power with respect to the securities held of record by TCG Crossover III. Chen Yu is the sole managing member of each of TCG Crossover GP II and TCG Crossover GP III and may be deemed to share voting, investment and dispositive power with respect to the securities held of record by TCG Crossover II and TCG Crossover III. Based on 1,123,548,580 Ordinary Shares outstanding as of April 30, 2026, as reported by the Issuer in the Form 10-Q.</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Zai Lab Limited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314 Main Street, 4th Floor, Suite 100, Cambridge, MA 02142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hanging="912"/>
        <w:spacing w:after="0"/>
        <w:tabs>
          <w:tab w:leader="none" w:pos="9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1200"/>
          </w:cols>
          <w:pgMar w:left="320" w:top="108" w:right="379" w:bottom="0" w:gutter="0" w:footer="0" w:header="0"/>
          <w:type w:val="continuous"/>
        </w:sectPr>
      </w:pPr>
    </w:p>
    <w:bookmarkStart w:id="5" w:name="page6"/>
    <w:bookmarkEnd w:id="5"/>
    <w:p>
      <w:pPr>
        <w:ind w:left="920"/>
        <w:spacing w:after="0" w:line="246" w:lineRule="auto"/>
        <w:rPr>
          <w:sz w:val="20"/>
          <w:szCs w:val="20"/>
          <w:color w:val="auto"/>
        </w:rPr>
      </w:pPr>
      <w:r>
        <w:rPr>
          <w:rFonts w:ascii="Times New Roman" w:cs="Times New Roman" w:eastAsia="Times New Roman" w:hAnsi="Times New Roman"/>
          <w:sz w:val="21"/>
          <w:szCs w:val="21"/>
          <w:color w:val="auto"/>
        </w:rPr>
        <w:t>This Statement is being filed by TCG Crossover Fund II, L.P. (TCG Crossover II), TCG Crossover GP II, LLC (TCG Crossover GP II), TCG Crossover Fund III, L.P. (TCG Crossover III) and TCG Crossover GP III, LLC (TCG Crossover GP III and together with TCG Crossover II, TCG Crossover GP II and TCG Crossover III, the Reporting Entities) and Chen Yu (the Reporting Individual). The Reporting Entities and the Reporting Individual are collectively referred to as the Reporting Persons. The Reporting Persons expressly disclaim status as a group for purposes of this Schedule 13G. The agreement among the Reporting Persons to file jointly in accordance with the provisions of Rule 13d-1(k)(1) under the Act is attached as Exhibit 1 hereto. Other than those securities reported herein as being held directly by such Reporting Person, each Reporting Person disclaims beneficial ownership of all securities reported in this Statement except to the extent of such Reporting Person's pecuniary interest therein.</w:t>
      </w:r>
    </w:p>
    <w:p>
      <w:pPr>
        <w:spacing w:after="0" w:line="1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right="220" w:hanging="912"/>
        <w:spacing w:after="0"/>
        <w:tabs>
          <w:tab w:leader="none" w:pos="920" w:val="left"/>
        </w:tabs>
        <w:numPr>
          <w:ilvl w:val="0"/>
          <w:numId w:val="1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each Reporting Person is 245 Lytton Ave., Suite 350, Palo Alto, CA 94301.</w:t>
      </w:r>
    </w:p>
    <w:p>
      <w:pPr>
        <w:spacing w:after="0" w:line="91"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jc w:val="both"/>
        <w:ind w:left="920" w:right="20" w:hanging="912"/>
        <w:spacing w:after="0" w:line="244" w:lineRule="auto"/>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TCG Crossover GP II and TCG Crossover GP II are each a limited liability company organized under the laws of the State of Delaware. TCG Crossover II and TCG Crossover III are each a limited partnership organized under the laws of the State of Delaware. The Reporting Individual is a citizen of the United States of America.</w:t>
      </w:r>
    </w:p>
    <w:p>
      <w:pPr>
        <w:sectPr>
          <w:pgSz w:w="11900" w:h="16838" w:orient="portrait"/>
          <w:cols w:equalWidth="0" w:num="1">
            <w:col w:w="11060"/>
          </w:cols>
          <w:pgMar w:left="360" w:top="355" w:right="479" w:bottom="0" w:gutter="0" w:footer="0" w:header="0"/>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 par value $0.000006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00"/>
        <w:spacing w:after="0" w:line="258" w:lineRule="auto"/>
        <w:rPr>
          <w:sz w:val="20"/>
          <w:szCs w:val="20"/>
          <w:color w:val="auto"/>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40"/>
        <w:spacing w:after="0" w:line="241" w:lineRule="auto"/>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140"/>
          </w:cols>
          <w:pgMar w:left="360" w:top="355" w:right="479" w:bottom="0" w:gutter="0" w:footer="0" w:header="0"/>
          <w:type w:val="continuous"/>
        </w:sect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Row 9 of the cover page for each Reporting Person and the corresponding comments.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1980"/>
        <w:spacing w:after="0"/>
        <w:rPr>
          <w:sz w:val="20"/>
          <w:szCs w:val="20"/>
          <w:color w:val="auto"/>
        </w:rPr>
      </w:pPr>
      <w:r>
        <w:rPr>
          <w:rFonts w:ascii="Times New Roman" w:cs="Times New Roman" w:eastAsia="Times New Roman" w:hAnsi="Times New Roman"/>
          <w:sz w:val="22"/>
          <w:szCs w:val="22"/>
          <w:color w:val="auto"/>
        </w:rPr>
        <w:t>See Row 11 of the cover page for each Reporting Person and the corresponding comments. %</w:t>
      </w:r>
    </w:p>
    <w:p>
      <w:pPr>
        <w:spacing w:after="0" w:line="20" w:lineRule="exact"/>
        <w:rPr>
          <w:sz w:val="20"/>
          <w:szCs w:val="20"/>
          <w:color w:val="auto"/>
        </w:rPr>
      </w:pPr>
    </w:p>
    <w:p>
      <w:pPr>
        <w:ind w:left="920" w:hanging="912"/>
        <w:spacing w:after="0"/>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Row 5 of the cover page for each Reporting Person and the corresponding comments.</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Row 6 of the cover page for each Reporting Person and the corresponding comments.</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Row 7 of the cover page for each Reporting Person and the corresponding comments.</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ectPr>
          <w:pgSz w:w="11900" w:h="16838" w:orient="portrait"/>
          <w:cols w:equalWidth="0" w:num="1">
            <w:col w:w="11060"/>
          </w:cols>
          <w:pgMar w:left="360" w:top="355" w:right="479" w:bottom="0" w:gutter="0" w:footer="0" w:header="0"/>
          <w:type w:val="continuous"/>
        </w:sectPr>
      </w:pPr>
    </w:p>
    <w:bookmarkStart w:id="6" w:name="page7"/>
    <w:bookmarkEnd w:id="6"/>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See Row 8 of the cover page for each Reporting Person and the corresponding comments.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TCG Crossover GP II, LLC</w:t>
      </w:r>
    </w:p>
    <w:p>
      <w:pPr>
        <w:spacing w:after="0" w:line="152"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Craig Skaling</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Craig Skaling, Authorized Signatory</w:t>
      </w:r>
    </w:p>
    <w:p>
      <w:pPr>
        <w:spacing w:after="0" w:line="44"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06/11/2026</w:t>
      </w:r>
    </w:p>
    <w:p>
      <w:pPr>
        <w:spacing w:after="0" w:line="15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TCG Crossover Fund II, L.P.</w:t>
      </w:r>
    </w:p>
    <w:p>
      <w:pPr>
        <w:spacing w:after="0" w:line="152"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Craig Skaling</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Craig Skaling, Authorized Signatory</w:t>
      </w:r>
    </w:p>
    <w:p>
      <w:pPr>
        <w:spacing w:after="0" w:line="44"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06/11/2026</w:t>
      </w:r>
    </w:p>
    <w:p>
      <w:pPr>
        <w:spacing w:after="0" w:line="1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TCG Crossover GP III, LLC</w:t>
      </w:r>
    </w:p>
    <w:p>
      <w:pPr>
        <w:spacing w:after="0" w:line="152"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Craig Skaling</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Craig Skaling, Authorized Signatory</w:t>
      </w:r>
    </w:p>
    <w:p>
      <w:pPr>
        <w:spacing w:after="0" w:line="44"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06/11/2026</w:t>
      </w:r>
    </w:p>
    <w:p>
      <w:pPr>
        <w:spacing w:after="0" w:line="15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TCG Crossover Fund III, L.P.</w:t>
      </w:r>
    </w:p>
    <w:p>
      <w:pPr>
        <w:spacing w:after="0" w:line="152"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Craig Skaling</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Craig Skaling, Authorized Signatory</w:t>
      </w:r>
    </w:p>
    <w:p>
      <w:pPr>
        <w:spacing w:after="0" w:line="44"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06/11/2026</w:t>
      </w:r>
    </w:p>
    <w:p>
      <w:pPr>
        <w:spacing w:after="0" w:line="15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Chen Yu</w:t>
      </w:r>
    </w:p>
    <w:p>
      <w:pPr>
        <w:spacing w:after="0" w:line="152" w:lineRule="exact"/>
        <w:rPr>
          <w:sz w:val="20"/>
          <w:szCs w:val="20"/>
          <w:color w:val="auto"/>
        </w:rPr>
      </w:pPr>
    </w:p>
    <w:p>
      <w:pPr>
        <w:ind w:left="5380"/>
        <w:spacing w:after="0"/>
        <w:tabs>
          <w:tab w:leader="none" w:pos="6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Craig Skaling</w:t>
      </w:r>
    </w:p>
    <w:p>
      <w:pPr>
        <w:spacing w:after="0" w:line="4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Name/Title: Craig Skaling, as Attorney-in-Fact for Chen Yu</w:t>
      </w:r>
    </w:p>
    <w:p>
      <w:pPr>
        <w:spacing w:after="0" w:line="44" w:lineRule="exact"/>
        <w:rPr>
          <w:sz w:val="20"/>
          <w:szCs w:val="20"/>
          <w:color w:val="auto"/>
        </w:rPr>
      </w:pPr>
    </w:p>
    <w:p>
      <w:pPr>
        <w:ind w:left="5380"/>
        <w:spacing w:after="0"/>
        <w:tabs>
          <w:tab w:leader="none" w:pos="6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06/11/2026</w:t>
      </w:r>
    </w:p>
    <w:p>
      <w:pPr>
        <w:spacing w:after="0" w:line="108" w:lineRule="exact"/>
        <w:rPr>
          <w:sz w:val="20"/>
          <w:szCs w:val="20"/>
          <w:color w:val="auto"/>
        </w:rPr>
      </w:pPr>
    </w:p>
    <w:p>
      <w:pPr>
        <w:jc w:val="center"/>
        <w:ind w:right="81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1 - Joint Filing Agreement</w:t>
      </w:r>
    </w:p>
    <w:sectPr>
      <w:pgSz w:w="11900" w:h="16838" w:orient="portrait"/>
      <w:cols w:equalWidth="0" w:num="1">
        <w:col w:w="11140"/>
      </w:cols>
      <w:pgMar w:left="360" w:top="111"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2"/>
      <w:numFmt w:val="bullet"/>
      <w:start w:val="1"/>
    </w:lvl>
  </w:abstractNum>
  <w:abstractNum w:abstractNumId="1">
    <w:nsid w:val="515F007C"/>
    <w:multiLevelType w:val="hybridMultilevel"/>
    <w:lvl w:ilvl="0">
      <w:lvlJc w:val="left"/>
      <w:lvlText w:val="3"/>
      <w:numFmt w:val="bullet"/>
      <w:start w:val="1"/>
    </w:lvl>
  </w:abstractNum>
  <w:abstractNum w:abstractNumId="2">
    <w:nsid w:val="5BD062C2"/>
    <w:multiLevelType w:val="hybridMultilevel"/>
    <w:lvl w:ilvl="0">
      <w:lvlJc w:val="left"/>
      <w:lvlText w:val="2"/>
      <w:numFmt w:val="bullet"/>
      <w:start w:val="1"/>
    </w:lvl>
  </w:abstractNum>
  <w:abstractNum w:abstractNumId="3">
    <w:nsid w:val="12200854"/>
    <w:multiLevelType w:val="hybridMultilevel"/>
    <w:lvl w:ilvl="0">
      <w:lvlJc w:val="left"/>
      <w:lvlText w:val="3"/>
      <w:numFmt w:val="bullet"/>
      <w:start w:val="1"/>
    </w:lvl>
  </w:abstractNum>
  <w:abstractNum w:abstractNumId="4">
    <w:nsid w:val="4DB127F8"/>
    <w:multiLevelType w:val="hybridMultilevel"/>
    <w:lvl w:ilvl="0">
      <w:lvlJc w:val="left"/>
      <w:lvlText w:val="9"/>
      <w:numFmt w:val="bullet"/>
      <w:start w:val="1"/>
    </w:lvl>
  </w:abstractNum>
  <w:abstractNum w:abstractNumId="5">
    <w:nsid w:val="216231B"/>
    <w:multiLevelType w:val="hybridMultilevel"/>
    <w:lvl w:ilvl="0">
      <w:lvlJc w:val="left"/>
      <w:lvlText w:val="%1."/>
      <w:numFmt w:val="upperLetter"/>
      <w:start w:val="35"/>
    </w:lvl>
  </w:abstractNum>
  <w:abstractNum w:abstractNumId="6">
    <w:nsid w:val="1F16E9E8"/>
    <w:multiLevelType w:val="hybridMultilevel"/>
    <w:lvl w:ilvl="0">
      <w:lvlJc w:val="left"/>
      <w:lvlText w:val="2"/>
      <w:numFmt w:val="bullet"/>
      <w:start w:val="1"/>
    </w:lvl>
  </w:abstractNum>
  <w:abstractNum w:abstractNumId="7">
    <w:nsid w:val="1190CDE7"/>
    <w:multiLevelType w:val="hybridMultilevel"/>
    <w:lvl w:ilvl="0">
      <w:lvlJc w:val="left"/>
      <w:lvlText w:val="%1"/>
      <w:numFmt w:val="upperLetter"/>
      <w:start w:val="61"/>
    </w:lvl>
  </w:abstractNum>
  <w:abstractNum w:abstractNumId="8">
    <w:nsid w:val="66EF438D"/>
    <w:multiLevelType w:val="hybridMultilevel"/>
    <w:lvl w:ilvl="0">
      <w:lvlJc w:val="left"/>
      <w:lvlText w:val="2"/>
      <w:numFmt w:val="bullet"/>
      <w:start w:val="1"/>
    </w:lvl>
  </w:abstractNum>
  <w:abstractNum w:abstractNumId="9">
    <w:nsid w:val="140E0F76"/>
    <w:multiLevelType w:val="hybridMultilevel"/>
    <w:lvl w:ilvl="0">
      <w:lvlJc w:val="left"/>
      <w:lvlText w:val="%1."/>
      <w:numFmt w:val="upperLetter"/>
      <w:start w:val="61"/>
    </w:lvl>
  </w:abstractNum>
  <w:abstractNum w:abstractNumId="10">
    <w:nsid w:val="3352255A"/>
    <w:multiLevelType w:val="hybridMultilevel"/>
    <w:lvl w:ilvl="0">
      <w:lvlJc w:val="left"/>
      <w:lvlText w:val="2"/>
      <w:numFmt w:val="bullet"/>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2"/>
    </w:lvl>
  </w:abstractNum>
  <w:abstractNum w:abstractNumId="13">
    <w:nsid w:val="7FDCC233"/>
    <w:multiLevelType w:val="hybridMultilevel"/>
    <w:lvl w:ilvl="0">
      <w:lvlJc w:val="left"/>
      <w:lvlText w:val="(%1)"/>
      <w:numFmt w:val="lowerLetter"/>
      <w:start w:val="11"/>
    </w:lvl>
  </w:abstractNum>
  <w:abstractNum w:abstractNumId="14">
    <w:nsid w:val="1BEFD79F"/>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2026-06-11T18:04:24Z</dcterms:created>
  <dcterms:modified xsi:type="dcterms:W3CDTF">2026-06-11T18:04:24Z</dcterms:modified>
</cp:coreProperties>
</file>