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 Ying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ZAI LAB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314 MAIN STREET, 4TH FLOOR,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Zai Lab Ltd</w:t>
              </w:r>
            </w:hyperlink>
            <w:r>
              <w:rPr/>
              <w:t xml:space="preserve"> [ </w:t>
            </w:r>
            <w:r>
              <w:rPr>
                <w:rFonts w:ascii="Times;serif" w:hAnsi="Times;serif"/>
                <w:color w:val="0000FF"/>
                <w:sz w:val="24"/>
                <w:shd w:fill="FFFFFF" w:val="clear"/>
              </w:rPr>
              <w:t>ZLAB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Chairperson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7"/>
        <w:gridCol w:w="903"/>
        <w:gridCol w:w="773"/>
        <w:gridCol w:w="600"/>
        <w:gridCol w:w="346"/>
        <w:gridCol w:w="925"/>
        <w:gridCol w:w="448"/>
        <w:gridCol w:w="610"/>
        <w:gridCol w:w="127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05/26/2026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19,857</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1,246,426</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33,993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1,212,433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53,850</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1,158,583</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ten Ordinary Shares of the issuer. Our ADSs and Ordinary Shares are fully fungible. For purposes of this Form 4, we are reporting this in terms of ADSs.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represents the transfer of shares held by the reporting person to a trust established for the benefit of an adult son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represents the transfer of shares held by the reporting person to a trust established for the benefit of an adult son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Blefeld,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1790" TargetMode="External"/><Relationship Id="rId5" Type="http://schemas.openxmlformats.org/officeDocument/2006/relationships/hyperlink" Target="http://www.sec.gov/cgi-bin/browse-edgar?action=getcompany&amp;CIK=000170429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3637</Characters>
  <CharactersWithSpaces>4244</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