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 Ying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Chairperson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8"/>
        <w:gridCol w:w="911"/>
        <w:gridCol w:w="782"/>
        <w:gridCol w:w="605"/>
        <w:gridCol w:w="339"/>
        <w:gridCol w:w="905"/>
        <w:gridCol w:w="421"/>
        <w:gridCol w:w="983"/>
        <w:gridCol w:w="1244"/>
        <w:gridCol w:w="962"/>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1,172,626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20.7422</w:t>
            </w:r>
            <w:r>
              <w:rPr>
                <w:rFonts w:ascii="Times;serif" w:hAnsi="Times;serif"/>
                <w:color w:val="008000"/>
                <w:position w:val="7"/>
                <w:sz w:val="16"/>
                <w:sz w:val="20"/>
                <w:shd w:fill="FFFFFF" w:val="clear"/>
              </w:rPr>
              <w:t>(3)</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1,122,626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1,172,626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18.9953</w:t>
            </w:r>
            <w:r>
              <w:rPr>
                <w:rFonts w:ascii="Times;serif" w:hAnsi="Times;serif"/>
                <w:color w:val="008000"/>
                <w:position w:val="7"/>
                <w:sz w:val="16"/>
                <w:sz w:val="20"/>
                <w:shd w:fill="FFFFFF" w:val="clear"/>
              </w:rPr>
              <w:t>(4)</w:t>
            </w:r>
            <w:r>
              <w:rPr/>
              <w:t xml:space="preserve"> </w:t>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1,122,626</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1026"/>
        <w:gridCol w:w="80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311,092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261,092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in this Form 4 were effected pursuant to a Rule 10b5-1 trading plan adopted by the Reporting Person on November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a weighted average sale price of $20.7422 per share, at prices ranging from $20.417 to $21.28 per share. The Reporting Person will provide, upon request by the staff of the Securities and Exchange Commission,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a weighted average sale price of $18.9953 per share, at prices ranging from $18.78 to $19.38 per share. The Reporting Person will provide, upon request by the staff of the Securities and Exchange Commission,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vested in equal annual installments over five years beginning on August 25, 2017, the first anniversary of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31790"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832</Words>
  <Characters>4479</Characters>
  <CharactersWithSpaces>5219</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